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F6" w:rsidRDefault="00841E4D">
      <w:bookmarkStart w:id="0" w:name="_GoBack"/>
      <w:bookmarkEnd w:id="0"/>
      <w:r>
        <w:t>June 9, 2015</w:t>
      </w:r>
    </w:p>
    <w:p w:rsidR="003163B3" w:rsidRDefault="003163B3" w:rsidP="003163B3">
      <w:pPr>
        <w:jc w:val="center"/>
        <w:rPr>
          <w:rStyle w:val="IntenseEmphasis"/>
          <w:i w:val="0"/>
          <w:sz w:val="28"/>
        </w:rPr>
      </w:pPr>
      <w:r>
        <w:rPr>
          <w:rStyle w:val="IntenseEmphasis"/>
          <w:i w:val="0"/>
          <w:sz w:val="28"/>
        </w:rPr>
        <w:t xml:space="preserve">Recommendations to NJDEP on the </w:t>
      </w:r>
      <w:r w:rsidR="004320C5">
        <w:rPr>
          <w:rStyle w:val="IntenseEmphasis"/>
          <w:i w:val="0"/>
          <w:sz w:val="28"/>
        </w:rPr>
        <w:t xml:space="preserve">Stormwater </w:t>
      </w:r>
      <w:r>
        <w:rPr>
          <w:rStyle w:val="IntenseEmphasis"/>
          <w:i w:val="0"/>
          <w:sz w:val="28"/>
        </w:rPr>
        <w:t>BMP Manual</w:t>
      </w:r>
      <w:r w:rsidR="00EF78C1">
        <w:rPr>
          <w:rStyle w:val="IntenseEmphasis"/>
          <w:i w:val="0"/>
          <w:sz w:val="28"/>
        </w:rPr>
        <w:t xml:space="preserve"> </w:t>
      </w:r>
      <w:r w:rsidR="004320C5">
        <w:rPr>
          <w:rStyle w:val="IntenseEmphasis"/>
          <w:i w:val="0"/>
          <w:sz w:val="28"/>
        </w:rPr>
        <w:t xml:space="preserve">Provisions for </w:t>
      </w:r>
      <w:r w:rsidR="00EF78C1">
        <w:rPr>
          <w:rStyle w:val="IntenseEmphasis"/>
          <w:i w:val="0"/>
          <w:sz w:val="28"/>
        </w:rPr>
        <w:t>Green Infrastructure Techniques</w:t>
      </w:r>
      <w:r w:rsidR="00841E4D">
        <w:rPr>
          <w:rStyle w:val="FootnoteReference"/>
          <w:b/>
          <w:bCs/>
          <w:iCs/>
          <w:color w:val="5B9BD5" w:themeColor="accent1"/>
          <w:sz w:val="28"/>
        </w:rPr>
        <w:footnoteReference w:id="1"/>
      </w:r>
    </w:p>
    <w:p w:rsidR="003163B3" w:rsidRPr="003163B3" w:rsidRDefault="003163B3" w:rsidP="003163B3">
      <w:pPr>
        <w:jc w:val="center"/>
        <w:rPr>
          <w:rStyle w:val="IntenseEmphasis"/>
          <w:i w:val="0"/>
          <w:sz w:val="28"/>
        </w:rPr>
      </w:pPr>
    </w:p>
    <w:p w:rsidR="00110E8E" w:rsidRDefault="00110E8E" w:rsidP="008623C3">
      <w:pPr>
        <w:spacing w:after="0" w:line="240" w:lineRule="auto"/>
        <w:rPr>
          <w:rFonts w:eastAsia="Times New Roman" w:cs="Times New Roman"/>
          <w:szCs w:val="24"/>
        </w:rPr>
      </w:pPr>
      <w:r w:rsidRPr="00EF78C1">
        <w:rPr>
          <w:rFonts w:eastAsia="Times New Roman" w:cs="Times New Roman"/>
          <w:b/>
          <w:szCs w:val="24"/>
        </w:rPr>
        <w:t>PURPOSE</w:t>
      </w:r>
      <w:r w:rsidRPr="00EF78C1">
        <w:rPr>
          <w:rFonts w:eastAsia="Times New Roman" w:cs="Times New Roman"/>
          <w:szCs w:val="24"/>
        </w:rPr>
        <w:t xml:space="preserve">: </w:t>
      </w:r>
      <w:r w:rsidR="004320C5">
        <w:rPr>
          <w:rFonts w:eastAsia="Times New Roman" w:cs="Times New Roman"/>
          <w:szCs w:val="24"/>
        </w:rPr>
        <w:t xml:space="preserve">The NJDEP is in the process of revising its Stormwater BMP Manual, </w:t>
      </w:r>
      <w:r w:rsidR="00394056">
        <w:rPr>
          <w:rFonts w:eastAsia="Times New Roman" w:cs="Times New Roman"/>
          <w:szCs w:val="24"/>
        </w:rPr>
        <w:t>both to add</w:t>
      </w:r>
      <w:r w:rsidR="004320C5">
        <w:rPr>
          <w:rFonts w:eastAsia="Times New Roman" w:cs="Times New Roman"/>
          <w:szCs w:val="24"/>
        </w:rPr>
        <w:t xml:space="preserve"> new sections for green infrastructure </w:t>
      </w:r>
      <w:r w:rsidR="008623C3">
        <w:rPr>
          <w:rFonts w:eastAsia="Times New Roman" w:cs="Times New Roman"/>
          <w:szCs w:val="24"/>
        </w:rPr>
        <w:t xml:space="preserve">(GI) </w:t>
      </w:r>
      <w:r w:rsidR="004320C5">
        <w:rPr>
          <w:rFonts w:eastAsia="Times New Roman" w:cs="Times New Roman"/>
          <w:szCs w:val="24"/>
        </w:rPr>
        <w:t>techniques</w:t>
      </w:r>
      <w:r w:rsidR="008623C3">
        <w:rPr>
          <w:rFonts w:eastAsia="Times New Roman" w:cs="Times New Roman"/>
          <w:szCs w:val="24"/>
        </w:rPr>
        <w:t xml:space="preserve"> (</w:t>
      </w:r>
      <w:r w:rsidR="004320C5">
        <w:rPr>
          <w:rFonts w:eastAsia="Times New Roman" w:cs="Times New Roman"/>
          <w:szCs w:val="24"/>
        </w:rPr>
        <w:t>including blue and green r</w:t>
      </w:r>
      <w:r w:rsidR="008623C3">
        <w:rPr>
          <w:rFonts w:eastAsia="Times New Roman" w:cs="Times New Roman"/>
          <w:szCs w:val="24"/>
        </w:rPr>
        <w:t>oofs, rain barrels and cisterns)</w:t>
      </w:r>
      <w:r w:rsidR="004320C5">
        <w:rPr>
          <w:rFonts w:eastAsia="Times New Roman" w:cs="Times New Roman"/>
          <w:szCs w:val="24"/>
        </w:rPr>
        <w:t xml:space="preserve"> and </w:t>
      </w:r>
      <w:r w:rsidR="00394056">
        <w:rPr>
          <w:rFonts w:eastAsia="Times New Roman" w:cs="Times New Roman"/>
          <w:szCs w:val="24"/>
        </w:rPr>
        <w:t>to reformat and expand existing</w:t>
      </w:r>
      <w:r w:rsidR="004320C5">
        <w:rPr>
          <w:rFonts w:eastAsia="Times New Roman" w:cs="Times New Roman"/>
          <w:szCs w:val="24"/>
        </w:rPr>
        <w:t xml:space="preserve"> sections.  We offer these recommendations for enhancing those additions and revisions, in order to </w:t>
      </w:r>
      <w:r w:rsidRPr="00EF78C1">
        <w:rPr>
          <w:rFonts w:eastAsia="Times New Roman" w:cs="Times New Roman"/>
          <w:szCs w:val="24"/>
        </w:rPr>
        <w:t>facilitate greater use of green infrastructure techniques</w:t>
      </w:r>
      <w:r w:rsidR="004320C5">
        <w:rPr>
          <w:rFonts w:eastAsia="Times New Roman" w:cs="Times New Roman"/>
          <w:szCs w:val="24"/>
        </w:rPr>
        <w:t xml:space="preserve">.  Specifically, we recommend the </w:t>
      </w:r>
      <w:r w:rsidRPr="00EF78C1">
        <w:rPr>
          <w:rFonts w:eastAsia="Times New Roman" w:cs="Times New Roman"/>
          <w:szCs w:val="24"/>
        </w:rPr>
        <w:t xml:space="preserve">provision of design </w:t>
      </w:r>
      <w:r w:rsidR="004320C5">
        <w:rPr>
          <w:rFonts w:eastAsia="Times New Roman" w:cs="Times New Roman"/>
          <w:szCs w:val="24"/>
        </w:rPr>
        <w:t xml:space="preserve">methodologies and </w:t>
      </w:r>
      <w:r w:rsidRPr="00EF78C1">
        <w:rPr>
          <w:rFonts w:eastAsia="Times New Roman" w:cs="Times New Roman"/>
          <w:szCs w:val="24"/>
        </w:rPr>
        <w:t xml:space="preserve">templates </w:t>
      </w:r>
      <w:r w:rsidR="00EF78C1">
        <w:rPr>
          <w:rFonts w:eastAsia="Times New Roman" w:cs="Times New Roman"/>
          <w:szCs w:val="24"/>
        </w:rPr>
        <w:t xml:space="preserve">that </w:t>
      </w:r>
      <w:r w:rsidR="008623C3">
        <w:rPr>
          <w:rFonts w:eastAsia="Times New Roman" w:cs="Times New Roman"/>
          <w:szCs w:val="24"/>
        </w:rPr>
        <w:t xml:space="preserve">will </w:t>
      </w:r>
      <w:r w:rsidR="00EF78C1">
        <w:rPr>
          <w:rFonts w:eastAsia="Times New Roman" w:cs="Times New Roman"/>
          <w:szCs w:val="24"/>
        </w:rPr>
        <w:t>educate and guide practitioners, convey NJDEP expectations,</w:t>
      </w:r>
      <w:r w:rsidR="00301D39" w:rsidRPr="00EF78C1">
        <w:rPr>
          <w:rFonts w:eastAsia="Times New Roman" w:cs="Times New Roman"/>
          <w:szCs w:val="24"/>
        </w:rPr>
        <w:t xml:space="preserve"> and reduce</w:t>
      </w:r>
      <w:r w:rsidRPr="00EF78C1">
        <w:rPr>
          <w:rFonts w:eastAsia="Times New Roman" w:cs="Times New Roman"/>
          <w:szCs w:val="24"/>
        </w:rPr>
        <w:t xml:space="preserve"> </w:t>
      </w:r>
      <w:r w:rsidR="00A3287F">
        <w:rPr>
          <w:rFonts w:eastAsia="Times New Roman" w:cs="Times New Roman"/>
          <w:szCs w:val="24"/>
        </w:rPr>
        <w:t xml:space="preserve">lifecycle </w:t>
      </w:r>
      <w:r w:rsidRPr="00EF78C1">
        <w:rPr>
          <w:rFonts w:eastAsia="Times New Roman" w:cs="Times New Roman"/>
          <w:szCs w:val="24"/>
        </w:rPr>
        <w:t xml:space="preserve">costs.  </w:t>
      </w:r>
      <w:r w:rsidR="004320C5">
        <w:rPr>
          <w:rFonts w:eastAsia="Times New Roman" w:cs="Times New Roman"/>
          <w:szCs w:val="24"/>
        </w:rPr>
        <w:t>(</w:t>
      </w:r>
      <w:r w:rsidR="00301D39" w:rsidRPr="00EF78C1">
        <w:rPr>
          <w:rFonts w:eastAsia="Times New Roman" w:cs="Times New Roman"/>
          <w:szCs w:val="24"/>
        </w:rPr>
        <w:t>Note that engineers will still be needed to assess indivi</w:t>
      </w:r>
      <w:r w:rsidR="00EF78C1">
        <w:rPr>
          <w:rFonts w:eastAsia="Times New Roman" w:cs="Times New Roman"/>
          <w:szCs w:val="24"/>
        </w:rPr>
        <w:t>dual sites and customize designs for</w:t>
      </w:r>
      <w:r w:rsidR="00394056">
        <w:rPr>
          <w:rFonts w:eastAsia="Times New Roman" w:cs="Times New Roman"/>
          <w:szCs w:val="24"/>
        </w:rPr>
        <w:t xml:space="preserve"> those sites.</w:t>
      </w:r>
      <w:r w:rsidR="004320C5">
        <w:rPr>
          <w:rFonts w:eastAsia="Times New Roman" w:cs="Times New Roman"/>
          <w:szCs w:val="24"/>
        </w:rPr>
        <w:t>)</w:t>
      </w:r>
      <w:r w:rsidR="00301D39" w:rsidRPr="00EF78C1">
        <w:rPr>
          <w:rFonts w:eastAsia="Times New Roman" w:cs="Times New Roman"/>
          <w:szCs w:val="24"/>
        </w:rPr>
        <w:t xml:space="preserve"> </w:t>
      </w:r>
    </w:p>
    <w:p w:rsidR="00EF78C1" w:rsidRDefault="00EF78C1" w:rsidP="00EF78C1">
      <w:pPr>
        <w:spacing w:after="0" w:line="240" w:lineRule="auto"/>
        <w:rPr>
          <w:rFonts w:eastAsia="Times New Roman" w:cs="Times New Roman"/>
          <w:szCs w:val="24"/>
        </w:rPr>
      </w:pPr>
    </w:p>
    <w:p w:rsidR="00EF78C1" w:rsidRPr="00EF78C1" w:rsidRDefault="00EF78C1" w:rsidP="00EF78C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DEFINITION OF GREEN INFRASTRUCTURE: </w:t>
      </w:r>
      <w:r>
        <w:rPr>
          <w:rFonts w:eastAsia="Times New Roman" w:cs="Times New Roman"/>
          <w:szCs w:val="24"/>
        </w:rPr>
        <w:t xml:space="preserve">These recommendations are intended to apply to green infrastructure techniques consistent with the NJDEP definition of green infrastructure found on its </w:t>
      </w:r>
      <w:hyperlink r:id="rId9" w:history="1">
        <w:r w:rsidR="00394056">
          <w:rPr>
            <w:rStyle w:val="Hyperlink"/>
            <w:rFonts w:eastAsia="Times New Roman" w:cs="Times New Roman"/>
            <w:szCs w:val="24"/>
          </w:rPr>
          <w:t>website</w:t>
        </w:r>
      </w:hyperlink>
      <w:r w:rsidR="008E7226">
        <w:t>.</w:t>
      </w:r>
      <w:r w:rsidR="00394056">
        <w:rPr>
          <w:rFonts w:eastAsia="Times New Roman" w:cs="Times New Roman"/>
          <w:szCs w:val="24"/>
        </w:rPr>
        <w:t xml:space="preserve"> The website lists the following techniques: </w:t>
      </w:r>
      <w:r>
        <w:rPr>
          <w:rFonts w:eastAsia="Times New Roman" w:cs="Times New Roman"/>
          <w:szCs w:val="24"/>
        </w:rPr>
        <w:t xml:space="preserve"> </w:t>
      </w:r>
      <w:r w:rsidR="00394056" w:rsidRPr="00BC245F">
        <w:rPr>
          <w:color w:val="000000"/>
          <w:shd w:val="clear" w:color="auto" w:fill="FFFFFF"/>
        </w:rPr>
        <w:t>rain gardens/</w:t>
      </w:r>
      <w:proofErr w:type="spellStart"/>
      <w:r w:rsidR="00394056" w:rsidRPr="00BC245F">
        <w:rPr>
          <w:color w:val="000000"/>
          <w:shd w:val="clear" w:color="auto" w:fill="FFFFFF"/>
        </w:rPr>
        <w:t>bioretention</w:t>
      </w:r>
      <w:proofErr w:type="spellEnd"/>
      <w:r w:rsidR="00394056" w:rsidRPr="00BC245F">
        <w:rPr>
          <w:color w:val="000000"/>
          <w:shd w:val="clear" w:color="auto" w:fill="FFFFFF"/>
        </w:rPr>
        <w:t xml:space="preserve"> basins, grass swales, green roofs, pervious pavement, street tree trenches, constructed gravel wetlands, cisterns and rain barrels.</w:t>
      </w:r>
      <w:r>
        <w:rPr>
          <w:rFonts w:eastAsia="Times New Roman" w:cs="Times New Roman"/>
          <w:szCs w:val="24"/>
        </w:rPr>
        <w:t xml:space="preserve"> </w:t>
      </w:r>
      <w:r w:rsidRPr="00EF78C1">
        <w:rPr>
          <w:rFonts w:eastAsia="Times New Roman" w:cs="Times New Roman"/>
        </w:rPr>
        <w:t>Per the NJDEP, these practices “</w:t>
      </w:r>
      <w:r w:rsidRPr="00EF78C1">
        <w:rPr>
          <w:color w:val="000000"/>
          <w:shd w:val="clear" w:color="auto" w:fill="FFFFFF"/>
        </w:rPr>
        <w:t>are generally considered as part of development design, but most GI practices can also be used as a retrofit option once a site has already been developed depending on the site conditions</w:t>
      </w:r>
      <w:r w:rsidR="008E7226">
        <w:rPr>
          <w:color w:val="000000"/>
          <w:shd w:val="clear" w:color="auto" w:fill="FFFFFF"/>
        </w:rPr>
        <w:t>.</w:t>
      </w:r>
      <w:r w:rsidRPr="00EF78C1">
        <w:rPr>
          <w:color w:val="000000"/>
          <w:shd w:val="clear" w:color="auto" w:fill="FFFFFF"/>
        </w:rPr>
        <w:t>”</w:t>
      </w:r>
    </w:p>
    <w:p w:rsidR="00EF78C1" w:rsidRPr="00EF78C1" w:rsidRDefault="00EF78C1" w:rsidP="00EF78C1">
      <w:pPr>
        <w:spacing w:after="0" w:line="240" w:lineRule="auto"/>
        <w:rPr>
          <w:rFonts w:eastAsia="Times New Roman" w:cs="Times New Roman"/>
          <w:szCs w:val="24"/>
        </w:rPr>
      </w:pPr>
    </w:p>
    <w:p w:rsidR="00301D39" w:rsidRPr="00EF78C1" w:rsidRDefault="00EF78C1" w:rsidP="00EF78C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RECOMMENDED </w:t>
      </w:r>
      <w:r w:rsidR="00301D39" w:rsidRPr="00EF78C1">
        <w:rPr>
          <w:rFonts w:eastAsia="Times New Roman" w:cs="Times New Roman"/>
          <w:b/>
          <w:szCs w:val="24"/>
        </w:rPr>
        <w:t>DESIGN PROTOCOLS</w:t>
      </w:r>
      <w:r w:rsidR="003163B3" w:rsidRPr="00EF78C1">
        <w:rPr>
          <w:rFonts w:eastAsia="Times New Roman" w:cs="Times New Roman"/>
          <w:b/>
          <w:szCs w:val="24"/>
        </w:rPr>
        <w:t xml:space="preserve">: </w:t>
      </w:r>
      <w:r w:rsidR="003163B3" w:rsidRPr="00EF78C1">
        <w:rPr>
          <w:rFonts w:eastAsia="Times New Roman" w:cs="Times New Roman"/>
          <w:szCs w:val="24"/>
        </w:rPr>
        <w:t xml:space="preserve">The BMP manual </w:t>
      </w:r>
      <w:r w:rsidR="00301D39" w:rsidRPr="00EF78C1">
        <w:rPr>
          <w:rFonts w:eastAsia="Times New Roman" w:cs="Times New Roman"/>
          <w:szCs w:val="24"/>
        </w:rPr>
        <w:t xml:space="preserve">should </w:t>
      </w:r>
      <w:r w:rsidR="003163B3" w:rsidRPr="00EF78C1">
        <w:rPr>
          <w:rFonts w:eastAsia="Times New Roman" w:cs="Times New Roman"/>
          <w:szCs w:val="24"/>
        </w:rPr>
        <w:t xml:space="preserve">include the information needed for engineers to design GI installations that will manage stormwater from a defined area, in the same way that it does for more traditional </w:t>
      </w:r>
      <w:r w:rsidR="00A9783E" w:rsidRPr="00EF78C1">
        <w:rPr>
          <w:rFonts w:eastAsia="Times New Roman" w:cs="Times New Roman"/>
          <w:szCs w:val="24"/>
        </w:rPr>
        <w:t xml:space="preserve">stormwater management </w:t>
      </w:r>
      <w:r w:rsidR="003163B3" w:rsidRPr="00EF78C1">
        <w:rPr>
          <w:rFonts w:eastAsia="Times New Roman" w:cs="Times New Roman"/>
          <w:szCs w:val="24"/>
        </w:rPr>
        <w:t>approaches</w:t>
      </w:r>
      <w:r w:rsidR="003163B3" w:rsidRPr="00EF78C1">
        <w:rPr>
          <w:rFonts w:eastAsia="Times New Roman" w:cs="Times New Roman"/>
          <w:i/>
          <w:szCs w:val="24"/>
        </w:rPr>
        <w:t>. </w:t>
      </w:r>
      <w:r w:rsidR="00A9783E" w:rsidRPr="00EF78C1">
        <w:rPr>
          <w:rFonts w:eastAsia="Times New Roman" w:cs="Times New Roman"/>
          <w:i/>
          <w:szCs w:val="24"/>
        </w:rPr>
        <w:t>(Note that it is assumed that engineers will need to assess the specific site</w:t>
      </w:r>
      <w:r w:rsidR="00301D39" w:rsidRPr="00EF78C1">
        <w:rPr>
          <w:rFonts w:eastAsia="Times New Roman" w:cs="Times New Roman"/>
          <w:i/>
          <w:szCs w:val="24"/>
        </w:rPr>
        <w:t xml:space="preserve"> and customize designs for that site</w:t>
      </w:r>
      <w:r w:rsidR="00A9783E" w:rsidRPr="00EF78C1">
        <w:rPr>
          <w:rFonts w:eastAsia="Times New Roman" w:cs="Times New Roman"/>
          <w:i/>
          <w:szCs w:val="24"/>
        </w:rPr>
        <w:t>.)</w:t>
      </w:r>
    </w:p>
    <w:p w:rsidR="00301D39" w:rsidRDefault="00301D39" w:rsidP="00301D39">
      <w:pPr>
        <w:spacing w:after="0" w:line="240" w:lineRule="auto"/>
        <w:rPr>
          <w:rFonts w:eastAsia="Times New Roman" w:cs="Times New Roman"/>
          <w:szCs w:val="24"/>
        </w:rPr>
      </w:pPr>
    </w:p>
    <w:p w:rsidR="003163B3" w:rsidRDefault="003163B3" w:rsidP="008E7226">
      <w:pPr>
        <w:spacing w:after="0" w:line="240" w:lineRule="auto"/>
        <w:rPr>
          <w:rFonts w:eastAsia="Times New Roman" w:cs="Times New Roman"/>
          <w:szCs w:val="24"/>
        </w:rPr>
      </w:pPr>
      <w:r w:rsidRPr="00301D39">
        <w:rPr>
          <w:rFonts w:eastAsia="Times New Roman" w:cs="Times New Roman"/>
          <w:szCs w:val="24"/>
        </w:rPr>
        <w:t xml:space="preserve"> </w:t>
      </w:r>
      <w:r w:rsidR="00A9783E" w:rsidRPr="00301D39">
        <w:rPr>
          <w:rFonts w:eastAsia="Times New Roman" w:cs="Times New Roman"/>
          <w:szCs w:val="24"/>
        </w:rPr>
        <w:t xml:space="preserve">The manual </w:t>
      </w:r>
      <w:r w:rsidRPr="00301D39">
        <w:rPr>
          <w:rFonts w:eastAsia="Times New Roman" w:cs="Times New Roman"/>
          <w:szCs w:val="24"/>
        </w:rPr>
        <w:t>should</w:t>
      </w:r>
      <w:r w:rsidR="00301D39">
        <w:rPr>
          <w:rFonts w:eastAsia="Times New Roman" w:cs="Times New Roman"/>
          <w:szCs w:val="24"/>
        </w:rPr>
        <w:t xml:space="preserve"> establish protocols </w:t>
      </w:r>
      <w:r w:rsidR="00C60298">
        <w:rPr>
          <w:rFonts w:eastAsia="Times New Roman" w:cs="Times New Roman"/>
          <w:szCs w:val="24"/>
        </w:rPr>
        <w:t>that address</w:t>
      </w:r>
      <w:r w:rsidR="00301D39">
        <w:rPr>
          <w:rFonts w:eastAsia="Times New Roman" w:cs="Times New Roman"/>
          <w:szCs w:val="24"/>
        </w:rPr>
        <w:t xml:space="preserve"> the following</w:t>
      </w:r>
      <w:r w:rsidRPr="00301D39">
        <w:rPr>
          <w:rFonts w:eastAsia="Times New Roman" w:cs="Times New Roman"/>
          <w:szCs w:val="24"/>
        </w:rPr>
        <w:t>: </w:t>
      </w:r>
    </w:p>
    <w:p w:rsidR="00301D39" w:rsidRPr="00301D39" w:rsidRDefault="00301D39" w:rsidP="008E7226">
      <w:pPr>
        <w:spacing w:after="0" w:line="240" w:lineRule="auto"/>
        <w:rPr>
          <w:rFonts w:eastAsia="Times New Roman" w:cs="Times New Roman"/>
          <w:szCs w:val="24"/>
        </w:rPr>
      </w:pPr>
    </w:p>
    <w:p w:rsidR="00301D39" w:rsidRDefault="00C60298" w:rsidP="008E7226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Provide design parameters for different project</w:t>
      </w:r>
      <w:r w:rsidR="003163B3" w:rsidRPr="003163B3">
        <w:rPr>
          <w:rFonts w:eastAsia="Times New Roman" w:cs="Times New Roman"/>
          <w:b/>
          <w:bCs/>
          <w:szCs w:val="24"/>
        </w:rPr>
        <w:t xml:space="preserve"> design objective</w:t>
      </w:r>
      <w:r>
        <w:rPr>
          <w:rFonts w:eastAsia="Times New Roman" w:cs="Times New Roman"/>
          <w:b/>
          <w:bCs/>
          <w:szCs w:val="24"/>
        </w:rPr>
        <w:t>s</w:t>
      </w:r>
      <w:r w:rsidR="00A9783E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 GI projects are designed with</w:t>
      </w:r>
      <w:r w:rsidR="00A3287F">
        <w:rPr>
          <w:rFonts w:eastAsia="Times New Roman" w:cs="Times New Roman"/>
          <w:szCs w:val="24"/>
        </w:rPr>
        <w:t xml:space="preserve"> consideration of the following </w:t>
      </w:r>
      <w:r>
        <w:rPr>
          <w:rFonts w:eastAsia="Times New Roman" w:cs="Times New Roman"/>
          <w:szCs w:val="24"/>
        </w:rPr>
        <w:t xml:space="preserve"> objective</w:t>
      </w:r>
      <w:r w:rsidR="00A3287F">
        <w:rPr>
          <w:rFonts w:eastAsia="Times New Roman" w:cs="Times New Roman"/>
          <w:szCs w:val="24"/>
        </w:rPr>
        <w:t>s</w:t>
      </w:r>
      <w:r w:rsidR="00301D39">
        <w:rPr>
          <w:rFonts w:eastAsia="Times New Roman" w:cs="Times New Roman"/>
          <w:szCs w:val="24"/>
        </w:rPr>
        <w:t>:</w:t>
      </w:r>
    </w:p>
    <w:p w:rsidR="00C60298" w:rsidRDefault="00C60298" w:rsidP="008E7226">
      <w:pPr>
        <w:pStyle w:val="ListParagraph"/>
        <w:spacing w:after="0" w:line="240" w:lineRule="auto"/>
        <w:ind w:left="360"/>
        <w:rPr>
          <w:rFonts w:eastAsia="Times New Roman" w:cs="Times New Roman"/>
          <w:szCs w:val="24"/>
        </w:rPr>
      </w:pPr>
    </w:p>
    <w:p w:rsidR="00301D39" w:rsidRDefault="00301D39" w:rsidP="008E7226">
      <w:pPr>
        <w:pStyle w:val="ListParagraph"/>
        <w:numPr>
          <w:ilvl w:val="2"/>
          <w:numId w:val="4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 improve water quality</w:t>
      </w:r>
    </w:p>
    <w:p w:rsidR="00301D39" w:rsidRPr="00A3287F" w:rsidRDefault="00301D39" w:rsidP="00A3287F">
      <w:pPr>
        <w:pStyle w:val="ListParagraph"/>
        <w:numPr>
          <w:ilvl w:val="2"/>
          <w:numId w:val="4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 w:rsidRPr="00A3287F">
        <w:rPr>
          <w:rFonts w:eastAsia="Times New Roman" w:cs="Times New Roman"/>
          <w:szCs w:val="24"/>
        </w:rPr>
        <w:t>To reduce</w:t>
      </w:r>
      <w:r w:rsidR="00A3287F" w:rsidRPr="00A3287F">
        <w:rPr>
          <w:rFonts w:eastAsia="Times New Roman" w:cs="Times New Roman"/>
          <w:szCs w:val="24"/>
        </w:rPr>
        <w:t xml:space="preserve"> peak</w:t>
      </w:r>
      <w:r w:rsidRPr="00A3287F">
        <w:rPr>
          <w:rFonts w:eastAsia="Times New Roman" w:cs="Times New Roman"/>
          <w:szCs w:val="24"/>
        </w:rPr>
        <w:t xml:space="preserve"> flow</w:t>
      </w:r>
      <w:r w:rsidR="00A3287F" w:rsidRPr="00A3287F">
        <w:rPr>
          <w:rFonts w:eastAsia="Times New Roman" w:cs="Times New Roman"/>
          <w:szCs w:val="24"/>
        </w:rPr>
        <w:t xml:space="preserve"> rates</w:t>
      </w:r>
      <w:r w:rsidRPr="00A3287F">
        <w:rPr>
          <w:rFonts w:eastAsia="Times New Roman" w:cs="Times New Roman"/>
          <w:szCs w:val="24"/>
        </w:rPr>
        <w:t xml:space="preserve"> To reduce flooding</w:t>
      </w:r>
    </w:p>
    <w:p w:rsidR="00301D39" w:rsidRDefault="00A3287F" w:rsidP="008E7226">
      <w:pPr>
        <w:pStyle w:val="ListParagraph"/>
        <w:numPr>
          <w:ilvl w:val="2"/>
          <w:numId w:val="4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 achieve c</w:t>
      </w:r>
      <w:r w:rsidR="00301D39">
        <w:rPr>
          <w:rFonts w:eastAsia="Times New Roman" w:cs="Times New Roman"/>
          <w:szCs w:val="24"/>
        </w:rPr>
        <w:t>limate resiliency</w:t>
      </w:r>
    </w:p>
    <w:p w:rsidR="00A3287F" w:rsidRDefault="00A3287F" w:rsidP="008E7226">
      <w:pPr>
        <w:pStyle w:val="ListParagraph"/>
        <w:numPr>
          <w:ilvl w:val="2"/>
          <w:numId w:val="4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 restore natural systems and build ecologically and socially healthy communities</w:t>
      </w:r>
    </w:p>
    <w:p w:rsidR="00301D39" w:rsidRPr="00301D39" w:rsidRDefault="00301D39" w:rsidP="008E7226">
      <w:pPr>
        <w:spacing w:after="0" w:line="240" w:lineRule="auto"/>
        <w:ind w:left="360"/>
        <w:rPr>
          <w:rFonts w:eastAsia="Times New Roman" w:cs="Times New Roman"/>
          <w:szCs w:val="24"/>
        </w:rPr>
      </w:pPr>
    </w:p>
    <w:p w:rsidR="00C60298" w:rsidRDefault="00C60298" w:rsidP="008E7226">
      <w:pPr>
        <w:spacing w:after="0" w:line="240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8E7226">
        <w:rPr>
          <w:rFonts w:eastAsia="Times New Roman" w:cs="Times New Roman"/>
          <w:szCs w:val="24"/>
        </w:rPr>
        <w:t>NJ</w:t>
      </w:r>
      <w:r>
        <w:rPr>
          <w:rFonts w:eastAsia="Times New Roman" w:cs="Times New Roman"/>
          <w:szCs w:val="24"/>
        </w:rPr>
        <w:t xml:space="preserve">DEP BMP manual should establish a design parameter, in the form of a minimum rain event, for each type of design objective.  Implementers may exceed those thresholds if site conditions allow.  </w:t>
      </w:r>
    </w:p>
    <w:p w:rsidR="00C60298" w:rsidRDefault="00C60298" w:rsidP="008E7226">
      <w:pPr>
        <w:spacing w:after="0" w:line="240" w:lineRule="auto"/>
        <w:ind w:left="360"/>
        <w:rPr>
          <w:rFonts w:eastAsia="Times New Roman" w:cs="Times New Roman"/>
          <w:szCs w:val="24"/>
        </w:rPr>
      </w:pPr>
    </w:p>
    <w:p w:rsidR="003163B3" w:rsidRDefault="00C60298" w:rsidP="008E7226">
      <w:pPr>
        <w:spacing w:after="0" w:line="240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Note that r</w:t>
      </w:r>
      <w:r w:rsidR="00301D39">
        <w:rPr>
          <w:rFonts w:eastAsia="Times New Roman" w:cs="Times New Roman"/>
          <w:szCs w:val="24"/>
        </w:rPr>
        <w:t xml:space="preserve">ain events can be described </w:t>
      </w:r>
      <w:r w:rsidR="003163B3" w:rsidRPr="00301D39">
        <w:rPr>
          <w:rFonts w:eastAsia="Times New Roman" w:cs="Times New Roman"/>
          <w:szCs w:val="24"/>
        </w:rPr>
        <w:t xml:space="preserve">in the </w:t>
      </w:r>
      <w:r w:rsidR="00301D39">
        <w:rPr>
          <w:rFonts w:eastAsia="Times New Roman" w:cs="Times New Roman"/>
          <w:szCs w:val="24"/>
        </w:rPr>
        <w:t xml:space="preserve">traditional </w:t>
      </w:r>
      <w:r w:rsidR="003163B3" w:rsidRPr="00301D39">
        <w:rPr>
          <w:rFonts w:eastAsia="Times New Roman" w:cs="Times New Roman"/>
          <w:szCs w:val="24"/>
        </w:rPr>
        <w:t xml:space="preserve">form of a design storm (like the water quality design storm) or call for a </w:t>
      </w:r>
      <w:r w:rsidR="00301D39">
        <w:rPr>
          <w:rFonts w:eastAsia="Times New Roman" w:cs="Times New Roman"/>
          <w:szCs w:val="24"/>
        </w:rPr>
        <w:t>“</w:t>
      </w:r>
      <w:r w:rsidR="003163B3" w:rsidRPr="00301D39">
        <w:rPr>
          <w:rFonts w:eastAsia="Times New Roman" w:cs="Times New Roman"/>
          <w:szCs w:val="24"/>
        </w:rPr>
        <w:t>continuous simulation</w:t>
      </w:r>
      <w:r w:rsidR="008E7226">
        <w:rPr>
          <w:rFonts w:eastAsia="Times New Roman" w:cs="Times New Roman"/>
          <w:szCs w:val="24"/>
        </w:rPr>
        <w:t>,</w:t>
      </w:r>
      <w:r w:rsidR="00301D39">
        <w:rPr>
          <w:rFonts w:eastAsia="Times New Roman" w:cs="Times New Roman"/>
          <w:szCs w:val="24"/>
        </w:rPr>
        <w:t xml:space="preserve">” which allows designing for potential storm conditions, such as is done by the US EPA stormwater calculator.  </w:t>
      </w:r>
    </w:p>
    <w:p w:rsidR="00C60298" w:rsidRPr="00301D39" w:rsidRDefault="00C60298" w:rsidP="008E7226">
      <w:pPr>
        <w:spacing w:after="0" w:line="240" w:lineRule="auto"/>
        <w:ind w:left="360"/>
        <w:rPr>
          <w:rFonts w:eastAsia="Times New Roman" w:cs="Times New Roman"/>
          <w:szCs w:val="24"/>
        </w:rPr>
      </w:pPr>
    </w:p>
    <w:p w:rsidR="003163B3" w:rsidRPr="003163B3" w:rsidRDefault="003163B3" w:rsidP="008E7226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eastAsia="Times New Roman" w:cs="Times New Roman"/>
          <w:szCs w:val="24"/>
        </w:rPr>
      </w:pPr>
      <w:r w:rsidRPr="003163B3">
        <w:rPr>
          <w:rFonts w:eastAsia="Times New Roman" w:cs="Times New Roman"/>
          <w:b/>
          <w:bCs/>
          <w:szCs w:val="24"/>
        </w:rPr>
        <w:t>For each type of GI BMP, provide a </w:t>
      </w:r>
      <w:r w:rsidR="00C60298">
        <w:rPr>
          <w:rFonts w:eastAsia="Times New Roman" w:cs="Times New Roman"/>
          <w:b/>
          <w:bCs/>
          <w:szCs w:val="24"/>
        </w:rPr>
        <w:t xml:space="preserve">generic design methodology to </w:t>
      </w:r>
      <w:r w:rsidR="00B31D9C">
        <w:rPr>
          <w:rFonts w:eastAsia="Times New Roman" w:cs="Times New Roman"/>
          <w:b/>
          <w:bCs/>
          <w:szCs w:val="24"/>
        </w:rPr>
        <w:t>guide engineers</w:t>
      </w:r>
      <w:r w:rsidRPr="003163B3">
        <w:rPr>
          <w:rFonts w:eastAsia="Times New Roman" w:cs="Times New Roman"/>
          <w:b/>
          <w:bCs/>
          <w:szCs w:val="24"/>
        </w:rPr>
        <w:t>. </w:t>
      </w:r>
      <w:r w:rsidRPr="003163B3">
        <w:rPr>
          <w:rFonts w:eastAsia="Times New Roman" w:cs="Times New Roman"/>
          <w:szCs w:val="24"/>
        </w:rPr>
        <w:t> </w:t>
      </w:r>
    </w:p>
    <w:p w:rsidR="00B31D9C" w:rsidRPr="008E7226" w:rsidRDefault="00C60298" w:rsidP="008623C3">
      <w:pPr>
        <w:pStyle w:val="ListParagraph"/>
        <w:numPr>
          <w:ilvl w:val="4"/>
          <w:numId w:val="4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Include procedures for</w:t>
      </w:r>
      <w:r w:rsidR="008E7226">
        <w:rPr>
          <w:rFonts w:eastAsia="Times New Roman" w:cs="Times New Roman"/>
          <w:szCs w:val="24"/>
        </w:rPr>
        <w:t xml:space="preserve"> s</w:t>
      </w:r>
      <w:r w:rsidRPr="008E7226">
        <w:rPr>
          <w:rFonts w:eastAsia="Times New Roman" w:cs="Times New Roman"/>
          <w:szCs w:val="24"/>
        </w:rPr>
        <w:t>ite assessment</w:t>
      </w:r>
      <w:r w:rsidR="008E7226" w:rsidRPr="008E7226">
        <w:rPr>
          <w:rFonts w:eastAsia="Times New Roman" w:cs="Times New Roman"/>
          <w:szCs w:val="24"/>
        </w:rPr>
        <w:t>, i</w:t>
      </w:r>
      <w:r w:rsidR="00B31D9C" w:rsidRPr="008E7226">
        <w:rPr>
          <w:rFonts w:eastAsia="Times New Roman" w:cs="Times New Roman"/>
          <w:szCs w:val="24"/>
        </w:rPr>
        <w:t>ncluding initial site selection, in-situ soil borings, hydraulic conductivity testing, etc.</w:t>
      </w:r>
    </w:p>
    <w:p w:rsidR="00C60298" w:rsidRPr="00B31D9C" w:rsidRDefault="00C60298" w:rsidP="008623C3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 w:rsidRPr="008E7226">
        <w:rPr>
          <w:rFonts w:eastAsia="Times New Roman" w:cs="Times New Roman"/>
          <w:szCs w:val="24"/>
        </w:rPr>
        <w:t>Calculation metho</w:t>
      </w:r>
      <w:r>
        <w:rPr>
          <w:rFonts w:eastAsia="Times New Roman" w:cs="Times New Roman"/>
          <w:szCs w:val="24"/>
        </w:rPr>
        <w:t xml:space="preserve">d and matrix of design </w:t>
      </w:r>
      <w:r w:rsidR="00C1647E">
        <w:rPr>
          <w:rFonts w:eastAsia="Times New Roman" w:cs="Times New Roman"/>
          <w:szCs w:val="24"/>
        </w:rPr>
        <w:t>parameters</w:t>
      </w:r>
      <w:r w:rsidR="00B31D9C" w:rsidRPr="00B31D9C">
        <w:rPr>
          <w:rFonts w:eastAsia="Times New Roman" w:cs="Times New Roman"/>
          <w:bCs/>
          <w:szCs w:val="24"/>
        </w:rPr>
        <w:t xml:space="preserve"> to determine the size of the installation needed</w:t>
      </w:r>
      <w:r w:rsidR="00B31D9C" w:rsidRPr="00B31D9C">
        <w:rPr>
          <w:rFonts w:eastAsia="Times New Roman" w:cs="Times New Roman"/>
          <w:szCs w:val="24"/>
        </w:rPr>
        <w:t> </w:t>
      </w:r>
      <w:r w:rsidR="00B31D9C" w:rsidRPr="00B31D9C">
        <w:rPr>
          <w:rFonts w:eastAsia="Times New Roman" w:cs="Times New Roman"/>
          <w:bCs/>
          <w:szCs w:val="24"/>
        </w:rPr>
        <w:t>to accomplish the design objective</w:t>
      </w:r>
      <w:r w:rsidR="00C1647E">
        <w:rPr>
          <w:rFonts w:eastAsia="Times New Roman" w:cs="Times New Roman"/>
          <w:bCs/>
          <w:szCs w:val="24"/>
        </w:rPr>
        <w:t>.</w:t>
      </w:r>
    </w:p>
    <w:p w:rsidR="00B31D9C" w:rsidRPr="008623C3" w:rsidRDefault="00B31D9C" w:rsidP="008623C3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="Times New Roman"/>
          <w:szCs w:val="24"/>
        </w:rPr>
      </w:pPr>
      <w:r w:rsidRPr="008623C3">
        <w:rPr>
          <w:rFonts w:eastAsia="Times New Roman" w:cs="Times New Roman"/>
          <w:szCs w:val="24"/>
        </w:rPr>
        <w:t xml:space="preserve">For example, for a rain garden, what are the equations and assumptions you would use to determine the footprint needed to capture the </w:t>
      </w:r>
      <w:r w:rsidR="00C1647E" w:rsidRPr="008623C3">
        <w:rPr>
          <w:rFonts w:eastAsia="Times New Roman" w:cs="Times New Roman"/>
          <w:szCs w:val="24"/>
        </w:rPr>
        <w:t xml:space="preserve">desired </w:t>
      </w:r>
      <w:r w:rsidRPr="008623C3">
        <w:rPr>
          <w:rFonts w:eastAsia="Times New Roman" w:cs="Times New Roman"/>
          <w:szCs w:val="24"/>
        </w:rPr>
        <w:t>amount of stormwater runoff?  (Factor</w:t>
      </w:r>
      <w:r w:rsidR="00C1647E" w:rsidRPr="008623C3">
        <w:rPr>
          <w:rFonts w:eastAsia="Times New Roman" w:cs="Times New Roman"/>
          <w:szCs w:val="24"/>
        </w:rPr>
        <w:t>s might include, among others,</w:t>
      </w:r>
      <w:r w:rsidRPr="008623C3">
        <w:rPr>
          <w:rFonts w:eastAsia="Times New Roman" w:cs="Times New Roman"/>
          <w:szCs w:val="24"/>
        </w:rPr>
        <w:t xml:space="preserve"> fill media water holding capacity [moisture storage capacity], fill media hydraulic conductivity, and in-situ soil infiltration capacity.</w:t>
      </w:r>
      <w:r w:rsidR="008623C3" w:rsidRPr="008623C3">
        <w:rPr>
          <w:rFonts w:eastAsia="Times New Roman" w:cs="Times New Roman"/>
          <w:szCs w:val="24"/>
        </w:rPr>
        <w:t>)</w:t>
      </w:r>
      <w:r w:rsidRPr="008623C3">
        <w:rPr>
          <w:rFonts w:eastAsia="Times New Roman" w:cs="Times New Roman"/>
          <w:szCs w:val="24"/>
        </w:rPr>
        <w:t xml:space="preserve"> </w:t>
      </w:r>
      <w:r w:rsidRPr="008623C3">
        <w:rPr>
          <w:rFonts w:eastAsia="Times New Roman" w:cs="Times New Roman"/>
          <w:i/>
          <w:szCs w:val="24"/>
        </w:rPr>
        <w:t>Note that it is assumed that engineers will conduct a site assessment to determine the specific features of the site.</w:t>
      </w:r>
    </w:p>
    <w:p w:rsidR="00B31D9C" w:rsidRPr="008623C3" w:rsidRDefault="00B31D9C" w:rsidP="008623C3">
      <w:pPr>
        <w:pStyle w:val="ListParagraph"/>
        <w:numPr>
          <w:ilvl w:val="4"/>
          <w:numId w:val="7"/>
        </w:numPr>
        <w:spacing w:after="0" w:line="240" w:lineRule="auto"/>
        <w:rPr>
          <w:rFonts w:eastAsia="Times New Roman" w:cs="Times New Roman"/>
          <w:szCs w:val="24"/>
        </w:rPr>
      </w:pPr>
      <w:r w:rsidRPr="008623C3">
        <w:rPr>
          <w:rFonts w:eastAsia="Times New Roman" w:cs="Times New Roman"/>
          <w:szCs w:val="24"/>
        </w:rPr>
        <w:t xml:space="preserve">For example, for a green roof, what are the assumptions you would need to determine the depth of the growing media?  (Need to include a matrix </w:t>
      </w:r>
      <w:r w:rsidR="00C1647E" w:rsidRPr="008623C3">
        <w:rPr>
          <w:rFonts w:eastAsia="Times New Roman" w:cs="Times New Roman"/>
          <w:szCs w:val="24"/>
        </w:rPr>
        <w:t xml:space="preserve">of assumptions, including </w:t>
      </w:r>
      <w:r w:rsidRPr="008623C3">
        <w:rPr>
          <w:rFonts w:eastAsia="Times New Roman" w:cs="Times New Roman"/>
          <w:szCs w:val="24"/>
        </w:rPr>
        <w:t>the water-holdin</w:t>
      </w:r>
      <w:r w:rsidR="00C1647E" w:rsidRPr="008623C3">
        <w:rPr>
          <w:rFonts w:eastAsia="Times New Roman" w:cs="Times New Roman"/>
          <w:szCs w:val="24"/>
        </w:rPr>
        <w:t>g characteristics of the media</w:t>
      </w:r>
      <w:r w:rsidRPr="008623C3">
        <w:rPr>
          <w:rFonts w:eastAsia="Times New Roman" w:cs="Times New Roman"/>
          <w:szCs w:val="24"/>
        </w:rPr>
        <w:t>.)</w:t>
      </w:r>
    </w:p>
    <w:p w:rsidR="00C60298" w:rsidRDefault="00C60298" w:rsidP="008623C3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Customizing the design to fit the site</w:t>
      </w:r>
      <w:r w:rsidR="00C1647E">
        <w:rPr>
          <w:rFonts w:eastAsia="Times New Roman" w:cs="Times New Roman"/>
          <w:szCs w:val="24"/>
        </w:rPr>
        <w:t>.</w:t>
      </w:r>
    </w:p>
    <w:p w:rsidR="00C60298" w:rsidRDefault="00C60298" w:rsidP="00C60298">
      <w:pPr>
        <w:pStyle w:val="ListParagraph"/>
        <w:spacing w:after="0" w:line="240" w:lineRule="auto"/>
        <w:ind w:left="1440"/>
        <w:rPr>
          <w:rFonts w:eastAsia="Times New Roman" w:cs="Times New Roman"/>
          <w:szCs w:val="24"/>
        </w:rPr>
      </w:pPr>
    </w:p>
    <w:p w:rsidR="004320C5" w:rsidRDefault="004320C5" w:rsidP="004320C5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RECOMMENDED </w:t>
      </w:r>
      <w:r w:rsidR="003163B3" w:rsidRPr="004320C5">
        <w:rPr>
          <w:rFonts w:eastAsia="Times New Roman" w:cs="Times New Roman"/>
          <w:b/>
          <w:bCs/>
          <w:szCs w:val="24"/>
        </w:rPr>
        <w:t xml:space="preserve">SCOPE: </w:t>
      </w:r>
      <w:r>
        <w:rPr>
          <w:rFonts w:eastAsia="Times New Roman" w:cs="Times New Roman"/>
          <w:bCs/>
          <w:szCs w:val="24"/>
        </w:rPr>
        <w:t xml:space="preserve">The </w:t>
      </w:r>
      <w:r w:rsidR="003163B3" w:rsidRPr="004320C5">
        <w:rPr>
          <w:rFonts w:eastAsia="Times New Roman" w:cs="Times New Roman"/>
          <w:bCs/>
          <w:szCs w:val="24"/>
        </w:rPr>
        <w:t xml:space="preserve">BMP Manual should address all common </w:t>
      </w:r>
      <w:r w:rsidR="008623C3">
        <w:rPr>
          <w:rFonts w:eastAsia="Times New Roman" w:cs="Times New Roman"/>
          <w:bCs/>
          <w:szCs w:val="24"/>
        </w:rPr>
        <w:t>GI</w:t>
      </w:r>
      <w:r w:rsidR="003163B3" w:rsidRPr="004320C5">
        <w:rPr>
          <w:rFonts w:eastAsia="Times New Roman" w:cs="Times New Roman"/>
          <w:bCs/>
          <w:szCs w:val="24"/>
        </w:rPr>
        <w:t> techniques and how they can be installed in all common settings</w:t>
      </w:r>
      <w:r>
        <w:rPr>
          <w:rFonts w:eastAsia="Times New Roman" w:cs="Times New Roman"/>
          <w:bCs/>
          <w:szCs w:val="24"/>
        </w:rPr>
        <w:t>.  They should:</w:t>
      </w:r>
    </w:p>
    <w:p w:rsidR="004320C5" w:rsidRDefault="004320C5" w:rsidP="004320C5">
      <w:pPr>
        <w:spacing w:after="0" w:line="240" w:lineRule="auto"/>
        <w:rPr>
          <w:rFonts w:eastAsia="Times New Roman" w:cs="Times New Roman"/>
          <w:bCs/>
          <w:szCs w:val="24"/>
        </w:rPr>
      </w:pPr>
    </w:p>
    <w:p w:rsidR="003163B3" w:rsidRPr="00BC245F" w:rsidRDefault="00BC245F" w:rsidP="004320C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C245F">
        <w:rPr>
          <w:rFonts w:eastAsia="Times New Roman" w:cs="Times New Roman"/>
        </w:rPr>
        <w:t xml:space="preserve">Address the common GI techniques listed on the NJDEP GI website: </w:t>
      </w:r>
      <w:r w:rsidRPr="00BC245F">
        <w:rPr>
          <w:color w:val="000000"/>
          <w:shd w:val="clear" w:color="auto" w:fill="FFFFFF"/>
        </w:rPr>
        <w:t>rain gardens/</w:t>
      </w:r>
      <w:proofErr w:type="spellStart"/>
      <w:r w:rsidRPr="00BC245F">
        <w:rPr>
          <w:color w:val="000000"/>
          <w:shd w:val="clear" w:color="auto" w:fill="FFFFFF"/>
        </w:rPr>
        <w:t>bioretention</w:t>
      </w:r>
      <w:proofErr w:type="spellEnd"/>
      <w:r w:rsidRPr="00BC245F">
        <w:rPr>
          <w:color w:val="000000"/>
          <w:shd w:val="clear" w:color="auto" w:fill="FFFFFF"/>
        </w:rPr>
        <w:t xml:space="preserve"> basins, grass swales, green roofs, pervious pavement, street tree trenches, constructed gravel wetlands, cisterns and rain barrels. Clarify where streetscape</w:t>
      </w:r>
      <w:r w:rsidR="003163B3" w:rsidRPr="00BC245F">
        <w:rPr>
          <w:rFonts w:eastAsia="Times New Roman" w:cs="Times New Roman"/>
        </w:rPr>
        <w:t xml:space="preserve"> </w:t>
      </w:r>
      <w:proofErr w:type="spellStart"/>
      <w:r w:rsidR="003163B3" w:rsidRPr="00BC245F">
        <w:rPr>
          <w:rFonts w:eastAsia="Times New Roman" w:cs="Times New Roman"/>
        </w:rPr>
        <w:t>bioswales</w:t>
      </w:r>
      <w:proofErr w:type="spellEnd"/>
      <w:r w:rsidR="003163B3" w:rsidRPr="00BC245F">
        <w:rPr>
          <w:rFonts w:eastAsia="Times New Roman" w:cs="Times New Roman"/>
        </w:rPr>
        <w:t xml:space="preserve"> </w:t>
      </w:r>
      <w:r w:rsidRPr="00BC245F">
        <w:rPr>
          <w:rFonts w:eastAsia="Times New Roman" w:cs="Times New Roman"/>
        </w:rPr>
        <w:t>are addressed.</w:t>
      </w:r>
      <w:r w:rsidR="003163B3" w:rsidRPr="00BC245F">
        <w:rPr>
          <w:rFonts w:eastAsia="Times New Roman" w:cs="Times New Roman"/>
        </w:rPr>
        <w:t xml:space="preserve">  </w:t>
      </w:r>
    </w:p>
    <w:p w:rsidR="00BC245F" w:rsidRPr="00BC245F" w:rsidRDefault="003163B3" w:rsidP="00BC245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C245F">
        <w:rPr>
          <w:rFonts w:eastAsia="Times New Roman" w:cs="Times New Roman"/>
        </w:rPr>
        <w:t>Address GI in both new development projects and redevelopment retrofit settings.</w:t>
      </w:r>
    </w:p>
    <w:p w:rsidR="003163B3" w:rsidRDefault="00BC245F" w:rsidP="00BC245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BC245F">
        <w:rPr>
          <w:rFonts w:eastAsia="Times New Roman" w:cs="Times New Roman"/>
        </w:rPr>
        <w:t xml:space="preserve">To encourage “green streets” implementation, work with the NJDOT to include references to </w:t>
      </w:r>
      <w:r w:rsidR="003163B3" w:rsidRPr="00BC245F">
        <w:rPr>
          <w:rFonts w:eastAsia="Times New Roman" w:cs="Times New Roman"/>
        </w:rPr>
        <w:t xml:space="preserve">their </w:t>
      </w:r>
      <w:r w:rsidRPr="00BC245F">
        <w:rPr>
          <w:rFonts w:eastAsia="Times New Roman" w:cs="Times New Roman"/>
        </w:rPr>
        <w:t xml:space="preserve">technical design manuals and other guidance.  </w:t>
      </w:r>
    </w:p>
    <w:p w:rsidR="00A3287F" w:rsidRPr="00BC245F" w:rsidRDefault="00A3287F" w:rsidP="00BC245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Address lifecycle costs in project design and methods to employ cost-benefit analysis to evaluate project techniques.</w:t>
      </w:r>
    </w:p>
    <w:p w:rsidR="003163B3" w:rsidRPr="003163B3" w:rsidRDefault="003163B3" w:rsidP="003163B3">
      <w:pPr>
        <w:spacing w:after="0" w:line="240" w:lineRule="auto"/>
        <w:rPr>
          <w:rFonts w:eastAsia="Times New Roman" w:cs="Times New Roman"/>
          <w:szCs w:val="24"/>
        </w:rPr>
      </w:pPr>
    </w:p>
    <w:p w:rsidR="003163B3" w:rsidRPr="003163B3" w:rsidRDefault="003163B3">
      <w:r w:rsidRPr="003163B3">
        <w:rPr>
          <w:noProof/>
        </w:rPr>
        <w:drawing>
          <wp:inline distT="0" distB="0" distL="0" distR="0">
            <wp:extent cx="8890" cy="889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B3" w:rsidRDefault="003163B3">
      <w:r>
        <w:br w:type="page"/>
      </w:r>
    </w:p>
    <w:p w:rsidR="003163B3" w:rsidRDefault="003163B3"/>
    <w:p w:rsidR="003163B3" w:rsidRPr="003163B3" w:rsidRDefault="003163B3" w:rsidP="003163B3">
      <w:pPr>
        <w:pStyle w:val="Heading1"/>
        <w:jc w:val="center"/>
        <w:rPr>
          <w:rStyle w:val="IntenseEmphasis"/>
          <w:i w:val="0"/>
          <w:sz w:val="24"/>
        </w:rPr>
      </w:pPr>
      <w:r w:rsidRPr="003163B3">
        <w:rPr>
          <w:rStyle w:val="IntenseEmphasis"/>
          <w:i w:val="0"/>
          <w:sz w:val="24"/>
        </w:rPr>
        <w:t>Stormwater BMP Manual Comparisons, 4-12-15 DVA</w:t>
      </w:r>
    </w:p>
    <w:tbl>
      <w:tblPr>
        <w:tblStyle w:val="TableGrid"/>
        <w:tblW w:w="9624" w:type="dxa"/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710"/>
        <w:gridCol w:w="1620"/>
        <w:gridCol w:w="1350"/>
        <w:gridCol w:w="966"/>
      </w:tblGrid>
      <w:tr w:rsidR="00721DDE" w:rsidRPr="003163B3" w:rsidTr="00721DDE">
        <w:trPr>
          <w:cantSplit/>
          <w:trHeight w:val="1898"/>
        </w:trPr>
        <w:tc>
          <w:tcPr>
            <w:tcW w:w="2088" w:type="dxa"/>
          </w:tcPr>
          <w:p w:rsidR="00C72A50" w:rsidRPr="003163B3" w:rsidRDefault="00C72A50" w:rsidP="00437680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>Stormwater Technique</w:t>
            </w:r>
          </w:p>
        </w:tc>
        <w:tc>
          <w:tcPr>
            <w:tcW w:w="1890" w:type="dxa"/>
            <w:vAlign w:val="center"/>
          </w:tcPr>
          <w:p w:rsidR="004D0E10" w:rsidRPr="003163B3" w:rsidRDefault="004D0E10" w:rsidP="004D0E10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>NJ Stormwater BMP Manual or The Standards</w:t>
            </w:r>
          </w:p>
          <w:p w:rsidR="004D0E10" w:rsidRPr="003163B3" w:rsidRDefault="004D0E10" w:rsidP="004D0E10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>for Soil Erosion and</w:t>
            </w:r>
          </w:p>
          <w:p w:rsidR="004D0E10" w:rsidRPr="003163B3" w:rsidRDefault="004D0E10" w:rsidP="004D0E10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>Sediment Control</w:t>
            </w:r>
          </w:p>
          <w:p w:rsidR="00C72A50" w:rsidRPr="003163B3" w:rsidRDefault="004D0E10" w:rsidP="00721DDE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>In New Jersey</w:t>
            </w:r>
            <w:r w:rsidR="00721DDE" w:rsidRPr="003163B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10" w:type="dxa"/>
            <w:vAlign w:val="center"/>
          </w:tcPr>
          <w:p w:rsidR="00C72A50" w:rsidRPr="003163B3" w:rsidRDefault="00C72A50" w:rsidP="00437680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>Philadelphia 2008 Stormwater Management Guidance Manual Version 2.0</w:t>
            </w:r>
          </w:p>
        </w:tc>
        <w:tc>
          <w:tcPr>
            <w:tcW w:w="1620" w:type="dxa"/>
            <w:vAlign w:val="center"/>
          </w:tcPr>
          <w:p w:rsidR="00C72A50" w:rsidRPr="003163B3" w:rsidRDefault="00C72A50" w:rsidP="00437680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>NYC 2010 Guidelines for the Design &amp; Construction of Stormwater Management Systems</w:t>
            </w:r>
          </w:p>
        </w:tc>
        <w:tc>
          <w:tcPr>
            <w:tcW w:w="1350" w:type="dxa"/>
            <w:vAlign w:val="center"/>
          </w:tcPr>
          <w:p w:rsidR="00C72A50" w:rsidRPr="003163B3" w:rsidRDefault="00C72A50" w:rsidP="00437680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>NY State Stormwater Management Design Manual (2015)</w:t>
            </w:r>
          </w:p>
        </w:tc>
        <w:tc>
          <w:tcPr>
            <w:tcW w:w="966" w:type="dxa"/>
          </w:tcPr>
          <w:p w:rsidR="00721DDE" w:rsidRPr="003163B3" w:rsidRDefault="00C72A50" w:rsidP="00437680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>PADEP 2010? Storm</w:t>
            </w:r>
          </w:p>
          <w:p w:rsidR="00C72A50" w:rsidRPr="003163B3" w:rsidRDefault="00C72A50" w:rsidP="00437680">
            <w:pPr>
              <w:rPr>
                <w:b/>
                <w:sz w:val="20"/>
                <w:szCs w:val="20"/>
              </w:rPr>
            </w:pPr>
            <w:r w:rsidRPr="003163B3">
              <w:rPr>
                <w:b/>
                <w:sz w:val="20"/>
                <w:szCs w:val="20"/>
              </w:rPr>
              <w:t xml:space="preserve">water BMP Manual </w:t>
            </w:r>
          </w:p>
        </w:tc>
      </w:tr>
      <w:tr w:rsidR="00721DDE" w:rsidRPr="003163B3" w:rsidTr="00721DDE">
        <w:trPr>
          <w:trHeight w:val="454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Basins – Extended Detention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223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 xml:space="preserve">Basins – Infiltration 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521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 xml:space="preserve">Basins – Retention, Ponds &amp; Wet Basins 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PA Stormwater BMP Manual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454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Berms and Retentive Grading</w:t>
            </w:r>
            <w:r w:rsidR="00721DDE" w:rsidRPr="003163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C72A50" w:rsidRPr="003163B3" w:rsidRDefault="00950AF2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15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19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26</w:t>
            </w:r>
            <w:r w:rsidR="00721DDE" w:rsidRPr="003163B3">
              <w:rPr>
                <w:sz w:val="20"/>
                <w:szCs w:val="20"/>
              </w:rPr>
              <w:t>*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454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proofErr w:type="spellStart"/>
            <w:r w:rsidRPr="003163B3">
              <w:rPr>
                <w:sz w:val="20"/>
                <w:szCs w:val="20"/>
              </w:rPr>
              <w:t>Bioinﬁltration</w:t>
            </w:r>
            <w:proofErr w:type="spellEnd"/>
            <w:r w:rsidRPr="003163B3">
              <w:rPr>
                <w:sz w:val="20"/>
                <w:szCs w:val="20"/>
              </w:rPr>
              <w:t xml:space="preserve"> / </w:t>
            </w:r>
            <w:proofErr w:type="spellStart"/>
            <w:r w:rsidRPr="003163B3">
              <w:rPr>
                <w:sz w:val="20"/>
                <w:szCs w:val="20"/>
              </w:rPr>
              <w:t>Bioretention</w:t>
            </w:r>
            <w:proofErr w:type="spellEnd"/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454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Dry Wells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In Rain Barrels and Cisterns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223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Filter Strips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230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Filters/Sand Filters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454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Green Roofs/Blue Roofs</w:t>
            </w:r>
          </w:p>
        </w:tc>
        <w:tc>
          <w:tcPr>
            <w:tcW w:w="1890" w:type="dxa"/>
          </w:tcPr>
          <w:p w:rsidR="00C72A50" w:rsidRPr="003163B3" w:rsidRDefault="004D0E1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Under Development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 – Green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 - both</w:t>
            </w: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Blue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 xml:space="preserve">Y – both </w:t>
            </w:r>
          </w:p>
        </w:tc>
      </w:tr>
      <w:tr w:rsidR="00721DDE" w:rsidRPr="003163B3" w:rsidTr="00721DDE">
        <w:trPr>
          <w:trHeight w:val="454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Inlet and Outlet Controls</w:t>
            </w:r>
          </w:p>
        </w:tc>
        <w:tc>
          <w:tcPr>
            <w:tcW w:w="1890" w:type="dxa"/>
          </w:tcPr>
          <w:p w:rsidR="00C72A50" w:rsidRPr="003163B3" w:rsidRDefault="00950AF2" w:rsidP="00950AF2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11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12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13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14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15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17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18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20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21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22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23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24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29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32</w:t>
            </w:r>
            <w:r w:rsidR="00721DDE" w:rsidRPr="003163B3">
              <w:rPr>
                <w:sz w:val="20"/>
                <w:szCs w:val="20"/>
              </w:rPr>
              <w:t>*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Level spreaders</w:t>
            </w:r>
          </w:p>
        </w:tc>
      </w:tr>
      <w:tr w:rsidR="00721DDE" w:rsidRPr="003163B3" w:rsidTr="00721DDE">
        <w:trPr>
          <w:trHeight w:val="230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Infiltration Trenches</w:t>
            </w:r>
          </w:p>
        </w:tc>
        <w:tc>
          <w:tcPr>
            <w:tcW w:w="1890" w:type="dxa"/>
          </w:tcPr>
          <w:p w:rsidR="00C72A50" w:rsidRPr="003163B3" w:rsidRDefault="004D0E1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Y-</w:t>
            </w:r>
            <w:r w:rsidR="00FC3ED4" w:rsidRPr="003163B3">
              <w:rPr>
                <w:sz w:val="20"/>
                <w:szCs w:val="20"/>
              </w:rPr>
              <w:t>Dry well design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223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Porous Pavement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566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 xml:space="preserve">Pre-fabricated and Proprietary Designs 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PA Stormwater BMP Manual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454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Rain Barrels and Cisterns</w:t>
            </w:r>
          </w:p>
        </w:tc>
        <w:tc>
          <w:tcPr>
            <w:tcW w:w="1890" w:type="dxa"/>
          </w:tcPr>
          <w:p w:rsidR="00C72A50" w:rsidRPr="003163B3" w:rsidRDefault="004D0E1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Under Development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</w:tr>
      <w:tr w:rsidR="00721DDE" w:rsidRPr="003163B3" w:rsidTr="00721DDE">
        <w:trPr>
          <w:trHeight w:val="454"/>
        </w:trPr>
        <w:tc>
          <w:tcPr>
            <w:tcW w:w="2088" w:type="dxa"/>
          </w:tcPr>
          <w:p w:rsidR="00C72A50" w:rsidRPr="003163B3" w:rsidRDefault="00C72A50" w:rsidP="00A7778F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Recycling of Stormwater</w:t>
            </w:r>
          </w:p>
        </w:tc>
        <w:tc>
          <w:tcPr>
            <w:tcW w:w="1890" w:type="dxa"/>
          </w:tcPr>
          <w:p w:rsidR="00C72A50" w:rsidRPr="003163B3" w:rsidRDefault="004D0E10" w:rsidP="004D0E10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 xml:space="preserve">Cistern - Under Development 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</w:tr>
      <w:tr w:rsidR="00721DDE" w:rsidRPr="003163B3" w:rsidTr="00721DDE">
        <w:trPr>
          <w:trHeight w:val="223"/>
        </w:trPr>
        <w:tc>
          <w:tcPr>
            <w:tcW w:w="2088" w:type="dxa"/>
          </w:tcPr>
          <w:p w:rsidR="00C72A50" w:rsidRPr="003163B3" w:rsidRDefault="00C72A50" w:rsidP="00A7778F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Rooftop Disconnect</w:t>
            </w:r>
          </w:p>
        </w:tc>
        <w:tc>
          <w:tcPr>
            <w:tcW w:w="1890" w:type="dxa"/>
          </w:tcPr>
          <w:p w:rsidR="00C72A50" w:rsidRPr="003163B3" w:rsidRDefault="004D0E10" w:rsidP="004D0E10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Y-</w:t>
            </w:r>
            <w:r w:rsidR="00FC3ED4" w:rsidRPr="003163B3">
              <w:rPr>
                <w:sz w:val="20"/>
                <w:szCs w:val="20"/>
              </w:rPr>
              <w:t xml:space="preserve">Chapter 5 </w:t>
            </w:r>
            <w:r w:rsidRPr="003163B3">
              <w:rPr>
                <w:sz w:val="20"/>
                <w:szCs w:val="20"/>
              </w:rPr>
              <w:t>&amp;</w:t>
            </w:r>
            <w:r w:rsidR="00FC3ED4" w:rsidRPr="003163B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230"/>
        </w:trPr>
        <w:tc>
          <w:tcPr>
            <w:tcW w:w="2088" w:type="dxa"/>
          </w:tcPr>
          <w:p w:rsidR="00C72A50" w:rsidRPr="003163B3" w:rsidRDefault="00C72A50" w:rsidP="00A7778F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Soil amendments</w:t>
            </w:r>
          </w:p>
        </w:tc>
        <w:tc>
          <w:tcPr>
            <w:tcW w:w="1890" w:type="dxa"/>
          </w:tcPr>
          <w:p w:rsidR="00C72A50" w:rsidRPr="003163B3" w:rsidRDefault="00950AF2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1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3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4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7</w:t>
            </w:r>
            <w:r w:rsidR="00721DDE" w:rsidRPr="003163B3">
              <w:rPr>
                <w:sz w:val="20"/>
                <w:szCs w:val="20"/>
              </w:rPr>
              <w:t>*</w:t>
            </w:r>
            <w:r w:rsidRPr="003163B3">
              <w:rPr>
                <w:sz w:val="20"/>
                <w:szCs w:val="20"/>
              </w:rPr>
              <w:t>, 8</w:t>
            </w:r>
            <w:r w:rsidR="00721DDE" w:rsidRPr="003163B3">
              <w:rPr>
                <w:sz w:val="20"/>
                <w:szCs w:val="20"/>
              </w:rPr>
              <w:t>*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223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Subsurface Inﬁltration</w:t>
            </w:r>
          </w:p>
        </w:tc>
        <w:tc>
          <w:tcPr>
            <w:tcW w:w="1890" w:type="dxa"/>
          </w:tcPr>
          <w:p w:rsidR="00C72A50" w:rsidRPr="003163B3" w:rsidRDefault="00A1577E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  <w:r w:rsidR="004D0E10" w:rsidRPr="003163B3">
              <w:rPr>
                <w:sz w:val="20"/>
                <w:szCs w:val="20"/>
              </w:rPr>
              <w:t xml:space="preserve"> –Infiltration Basins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230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Subsurface Vaults</w:t>
            </w:r>
          </w:p>
        </w:tc>
        <w:tc>
          <w:tcPr>
            <w:tcW w:w="1890" w:type="dxa"/>
          </w:tcPr>
          <w:p w:rsidR="00C72A50" w:rsidRPr="003163B3" w:rsidRDefault="00A1577E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  <w:r w:rsidR="004D0E10" w:rsidRPr="003163B3">
              <w:rPr>
                <w:sz w:val="20"/>
                <w:szCs w:val="20"/>
              </w:rPr>
              <w:t xml:space="preserve"> –Extended Detention Basin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</w:tr>
      <w:tr w:rsidR="00721DDE" w:rsidRPr="003163B3" w:rsidTr="00721DDE">
        <w:trPr>
          <w:trHeight w:val="223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Swales</w:t>
            </w:r>
          </w:p>
        </w:tc>
        <w:tc>
          <w:tcPr>
            <w:tcW w:w="1890" w:type="dxa"/>
          </w:tcPr>
          <w:p w:rsidR="00C72A50" w:rsidRPr="003163B3" w:rsidRDefault="00A1577E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  <w:r w:rsidR="004D0E10" w:rsidRPr="003163B3">
              <w:rPr>
                <w:sz w:val="20"/>
                <w:szCs w:val="20"/>
              </w:rPr>
              <w:t xml:space="preserve"> – Grass Swales also see 18</w:t>
            </w:r>
            <w:r w:rsidR="00721DDE" w:rsidRPr="003163B3">
              <w:rPr>
                <w:sz w:val="20"/>
                <w:szCs w:val="20"/>
              </w:rPr>
              <w:t>* &amp; 20*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230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 xml:space="preserve">Wetlands – Constructed 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PA Stormwater BMP Manual</w:t>
            </w: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</w:tr>
      <w:tr w:rsidR="00721DDE" w:rsidRPr="003163B3" w:rsidTr="00721DDE">
        <w:trPr>
          <w:trHeight w:val="121"/>
        </w:trPr>
        <w:tc>
          <w:tcPr>
            <w:tcW w:w="2088" w:type="dxa"/>
          </w:tcPr>
          <w:p w:rsidR="00C72A50" w:rsidRPr="003163B3" w:rsidRDefault="00C72A50" w:rsidP="00C954EC">
            <w:pPr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Wetlands – Subsurface Gravel</w:t>
            </w:r>
          </w:p>
        </w:tc>
        <w:tc>
          <w:tcPr>
            <w:tcW w:w="189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  <w:r w:rsidRPr="003163B3">
              <w:rPr>
                <w:sz w:val="20"/>
                <w:szCs w:val="20"/>
              </w:rPr>
              <w:t>?</w:t>
            </w:r>
          </w:p>
        </w:tc>
        <w:tc>
          <w:tcPr>
            <w:tcW w:w="966" w:type="dxa"/>
          </w:tcPr>
          <w:p w:rsidR="00C72A50" w:rsidRPr="003163B3" w:rsidRDefault="00C72A50" w:rsidP="00C954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54EC" w:rsidRDefault="00C954EC" w:rsidP="00B13B2D"/>
    <w:sectPr w:rsidR="00C954EC" w:rsidSect="00FC3E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55" w:rsidRDefault="00696E55" w:rsidP="003163B3">
      <w:pPr>
        <w:spacing w:after="0" w:line="240" w:lineRule="auto"/>
      </w:pPr>
      <w:r>
        <w:separator/>
      </w:r>
    </w:p>
  </w:endnote>
  <w:endnote w:type="continuationSeparator" w:id="0">
    <w:p w:rsidR="00696E55" w:rsidRDefault="00696E55" w:rsidP="0031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55" w:rsidRDefault="00696E55" w:rsidP="003163B3">
      <w:pPr>
        <w:spacing w:after="0" w:line="240" w:lineRule="auto"/>
      </w:pPr>
      <w:r>
        <w:separator/>
      </w:r>
    </w:p>
  </w:footnote>
  <w:footnote w:type="continuationSeparator" w:id="0">
    <w:p w:rsidR="00696E55" w:rsidRDefault="00696E55" w:rsidP="003163B3">
      <w:pPr>
        <w:spacing w:after="0" w:line="240" w:lineRule="auto"/>
      </w:pPr>
      <w:r>
        <w:continuationSeparator/>
      </w:r>
    </w:p>
  </w:footnote>
  <w:footnote w:id="1">
    <w:p w:rsidR="00841E4D" w:rsidRDefault="00841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Developed by New Jersey Future with input from Donna </w:t>
      </w:r>
      <w:proofErr w:type="spellStart"/>
      <w:r>
        <w:t>Drewes</w:t>
      </w:r>
      <w:proofErr w:type="spellEnd"/>
      <w:r>
        <w:t xml:space="preserve">, Chris </w:t>
      </w:r>
      <w:proofErr w:type="spellStart"/>
      <w:r>
        <w:t>Obropta</w:t>
      </w:r>
      <w:proofErr w:type="spellEnd"/>
      <w:r>
        <w:t xml:space="preserve">, Elizabeth </w:t>
      </w:r>
      <w:proofErr w:type="spellStart"/>
      <w:r>
        <w:t>Fassman</w:t>
      </w:r>
      <w:proofErr w:type="spellEnd"/>
      <w:r>
        <w:t xml:space="preserve">-Beck, and members of the Urban Water Working Group green infrastructure committee, including Jennifer Gonzalez, Christopher Brown, Helen </w:t>
      </w:r>
      <w:proofErr w:type="spellStart"/>
      <w:r>
        <w:t>Feynk</w:t>
      </w:r>
      <w:proofErr w:type="spellEnd"/>
      <w:r>
        <w:t xml:space="preserve">, </w:t>
      </w:r>
      <w:proofErr w:type="spellStart"/>
      <w:r>
        <w:t>Ashwani</w:t>
      </w:r>
      <w:proofErr w:type="spellEnd"/>
      <w:r>
        <w:t xml:space="preserve"> </w:t>
      </w:r>
      <w:proofErr w:type="spellStart"/>
      <w:r>
        <w:t>Vassisth</w:t>
      </w:r>
      <w:proofErr w:type="spellEnd"/>
      <w:r>
        <w:t xml:space="preserve">, Ed </w:t>
      </w:r>
      <w:proofErr w:type="spellStart"/>
      <w:r>
        <w:t>Clerico</w:t>
      </w:r>
      <w:proofErr w:type="spellEnd"/>
      <w:r>
        <w:t>, Scott Dvorak and Michael Hornsby.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0A8"/>
    <w:multiLevelType w:val="hybridMultilevel"/>
    <w:tmpl w:val="F41EA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4CD4"/>
    <w:multiLevelType w:val="multilevel"/>
    <w:tmpl w:val="3E2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2609C8"/>
    <w:multiLevelType w:val="multilevel"/>
    <w:tmpl w:val="FF4EFF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23101F"/>
    <w:multiLevelType w:val="multilevel"/>
    <w:tmpl w:val="7308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A85803"/>
    <w:multiLevelType w:val="multilevel"/>
    <w:tmpl w:val="4DFA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1E4F4C"/>
    <w:multiLevelType w:val="hybridMultilevel"/>
    <w:tmpl w:val="C374B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E1B87"/>
    <w:multiLevelType w:val="multilevel"/>
    <w:tmpl w:val="9BE64E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z, Jennifer">
    <w15:presenceInfo w15:providerId="AD" w15:userId="S-1-5-21-796845957-842925246-839522115-105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EC"/>
    <w:rsid w:val="00102456"/>
    <w:rsid w:val="00110E8E"/>
    <w:rsid w:val="001665A1"/>
    <w:rsid w:val="001E02E6"/>
    <w:rsid w:val="002738D4"/>
    <w:rsid w:val="00301D39"/>
    <w:rsid w:val="003163B3"/>
    <w:rsid w:val="00394056"/>
    <w:rsid w:val="003B5EDF"/>
    <w:rsid w:val="003C6592"/>
    <w:rsid w:val="004320C5"/>
    <w:rsid w:val="00437680"/>
    <w:rsid w:val="004D0E10"/>
    <w:rsid w:val="004F188F"/>
    <w:rsid w:val="00655647"/>
    <w:rsid w:val="00696E55"/>
    <w:rsid w:val="006D2252"/>
    <w:rsid w:val="00721DDE"/>
    <w:rsid w:val="007376EB"/>
    <w:rsid w:val="00741F7A"/>
    <w:rsid w:val="00762959"/>
    <w:rsid w:val="00776238"/>
    <w:rsid w:val="007E2B2D"/>
    <w:rsid w:val="008222DA"/>
    <w:rsid w:val="00841E4D"/>
    <w:rsid w:val="008623C3"/>
    <w:rsid w:val="00875E61"/>
    <w:rsid w:val="00882287"/>
    <w:rsid w:val="008D0BFB"/>
    <w:rsid w:val="008D423C"/>
    <w:rsid w:val="008E7226"/>
    <w:rsid w:val="00911CE9"/>
    <w:rsid w:val="00950AF2"/>
    <w:rsid w:val="009E4282"/>
    <w:rsid w:val="00A1577E"/>
    <w:rsid w:val="00A25357"/>
    <w:rsid w:val="00A3287F"/>
    <w:rsid w:val="00A65377"/>
    <w:rsid w:val="00A7778F"/>
    <w:rsid w:val="00A9783E"/>
    <w:rsid w:val="00B13B2D"/>
    <w:rsid w:val="00B31D9C"/>
    <w:rsid w:val="00B620F6"/>
    <w:rsid w:val="00BB0138"/>
    <w:rsid w:val="00BC245F"/>
    <w:rsid w:val="00C1647E"/>
    <w:rsid w:val="00C60298"/>
    <w:rsid w:val="00C72A50"/>
    <w:rsid w:val="00C954EC"/>
    <w:rsid w:val="00D3409F"/>
    <w:rsid w:val="00DC6AC8"/>
    <w:rsid w:val="00DD5536"/>
    <w:rsid w:val="00EB2120"/>
    <w:rsid w:val="00EF78C1"/>
    <w:rsid w:val="00FA6A0B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B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163B3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163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B3"/>
  </w:style>
  <w:style w:type="paragraph" w:styleId="Footer">
    <w:name w:val="footer"/>
    <w:basedOn w:val="Normal"/>
    <w:link w:val="FooterChar"/>
    <w:uiPriority w:val="99"/>
    <w:unhideWhenUsed/>
    <w:rsid w:val="0031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B3"/>
  </w:style>
  <w:style w:type="character" w:styleId="CommentReference">
    <w:name w:val="annotation reference"/>
    <w:basedOn w:val="DefaultParagraphFont"/>
    <w:uiPriority w:val="99"/>
    <w:semiHidden/>
    <w:unhideWhenUsed/>
    <w:rsid w:val="00A9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3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E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E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E8E"/>
    <w:rPr>
      <w:vertAlign w:val="superscript"/>
    </w:rPr>
  </w:style>
  <w:style w:type="character" w:customStyle="1" w:styleId="apple-converted-space">
    <w:name w:val="apple-converted-space"/>
    <w:basedOn w:val="DefaultParagraphFont"/>
    <w:rsid w:val="00EF78C1"/>
  </w:style>
  <w:style w:type="character" w:styleId="Hyperlink">
    <w:name w:val="Hyperlink"/>
    <w:basedOn w:val="DefaultParagraphFont"/>
    <w:uiPriority w:val="99"/>
    <w:unhideWhenUsed/>
    <w:rsid w:val="00EF78C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E7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B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163B3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163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B3"/>
  </w:style>
  <w:style w:type="paragraph" w:styleId="Footer">
    <w:name w:val="footer"/>
    <w:basedOn w:val="Normal"/>
    <w:link w:val="FooterChar"/>
    <w:uiPriority w:val="99"/>
    <w:unhideWhenUsed/>
    <w:rsid w:val="0031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B3"/>
  </w:style>
  <w:style w:type="character" w:styleId="CommentReference">
    <w:name w:val="annotation reference"/>
    <w:basedOn w:val="DefaultParagraphFont"/>
    <w:uiPriority w:val="99"/>
    <w:semiHidden/>
    <w:unhideWhenUsed/>
    <w:rsid w:val="00A9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3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E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E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E8E"/>
    <w:rPr>
      <w:vertAlign w:val="superscript"/>
    </w:rPr>
  </w:style>
  <w:style w:type="character" w:customStyle="1" w:styleId="apple-converted-space">
    <w:name w:val="apple-converted-space"/>
    <w:basedOn w:val="DefaultParagraphFont"/>
    <w:rsid w:val="00EF78C1"/>
  </w:style>
  <w:style w:type="character" w:styleId="Hyperlink">
    <w:name w:val="Hyperlink"/>
    <w:basedOn w:val="DefaultParagraphFont"/>
    <w:uiPriority w:val="99"/>
    <w:unhideWhenUsed/>
    <w:rsid w:val="00EF78C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E7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21112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nj.gov/dep/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D5FD-1AE8-4C67-A10F-1FAB398C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Van Abs</dc:creator>
  <cp:lastModifiedBy>Chris Sturm</cp:lastModifiedBy>
  <cp:revision>2</cp:revision>
  <cp:lastPrinted>2015-07-09T17:57:00Z</cp:lastPrinted>
  <dcterms:created xsi:type="dcterms:W3CDTF">2015-07-09T17:57:00Z</dcterms:created>
  <dcterms:modified xsi:type="dcterms:W3CDTF">2015-07-09T17:57:00Z</dcterms:modified>
</cp:coreProperties>
</file>